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 xml:space="preserve">                         </w:t>
      </w:r>
      <w:r>
        <w:rPr>
          <w:rFonts w:hint="eastAsia"/>
          <w:b/>
          <w:bCs/>
          <w:sz w:val="32"/>
          <w:szCs w:val="32"/>
          <w:lang w:val="en-US" w:eastAsia="zh-CN"/>
        </w:rPr>
        <w:t>学业预警操作手册</w:t>
      </w:r>
    </w:p>
    <w:p>
      <w:pPr>
        <w:rPr>
          <w:rFonts w:hint="eastAsia"/>
          <w:lang w:val="en-US" w:eastAsia="zh-CN"/>
        </w:rPr>
      </w:pPr>
    </w:p>
    <w:p>
      <w:pPr>
        <w:ind w:firstLine="420" w:firstLineChars="200"/>
        <w:rPr>
          <w:rFonts w:hint="eastAsia"/>
        </w:rPr>
      </w:pPr>
      <w:r>
        <w:rPr>
          <w:rFonts w:hint="eastAsia"/>
          <w:lang w:val="en-US" w:eastAsia="zh-CN"/>
        </w:rPr>
        <w:t xml:space="preserve">  </w:t>
      </w:r>
      <w:r>
        <w:rPr>
          <w:rFonts w:hint="eastAsia"/>
        </w:rPr>
        <w:t>学业预警是通过对学生每学期的学习情况进行分析，对可能或已经发生学习问题、或完成学业困难的学生进行警示，告知学生本人及家长可能产生的不良后果，并针对性地采取相应补救和帮扶措施，帮助学生顺利完成学业的一种危机干预制度。</w:t>
      </w:r>
    </w:p>
    <w:p>
      <w:pPr>
        <w:ind w:firstLine="420" w:firstLineChars="200"/>
        <w:rPr>
          <w:rFonts w:hint="eastAsia"/>
        </w:rPr>
      </w:pPr>
    </w:p>
    <w:p>
      <w:pPr>
        <w:ind w:firstLine="602" w:firstLineChars="200"/>
        <w:rPr>
          <w:rFonts w:hint="eastAsia"/>
          <w:b/>
          <w:bCs/>
          <w:sz w:val="30"/>
          <w:szCs w:val="30"/>
          <w:lang w:eastAsia="zh-CN"/>
        </w:rPr>
      </w:pPr>
      <w:r>
        <w:rPr>
          <w:rFonts w:hint="eastAsia"/>
          <w:b/>
          <w:bCs/>
          <w:sz w:val="30"/>
          <w:szCs w:val="30"/>
          <w:lang w:val="en-US" w:eastAsia="zh-CN"/>
        </w:rPr>
        <w:t>1.</w:t>
      </w:r>
      <w:r>
        <w:rPr>
          <w:rFonts w:hint="eastAsia"/>
          <w:b/>
          <w:bCs/>
          <w:sz w:val="30"/>
          <w:szCs w:val="30"/>
          <w:lang w:eastAsia="zh-CN"/>
        </w:rPr>
        <w:t>院系秘书：</w:t>
      </w:r>
    </w:p>
    <w:p>
      <w:pPr>
        <w:ind w:firstLine="420" w:firstLineChars="200"/>
        <w:rPr>
          <w:rFonts w:hint="eastAsia"/>
          <w:b w:val="0"/>
          <w:bCs w:val="0"/>
          <w:lang w:eastAsia="zh-CN"/>
        </w:rPr>
      </w:pPr>
      <w:r>
        <w:rPr>
          <w:rFonts w:hint="eastAsia"/>
          <w:b w:val="0"/>
          <w:bCs w:val="0"/>
          <w:lang w:eastAsia="zh-CN"/>
        </w:rPr>
        <w:t>主要查看学生的预警计算结果以及核对发布学生毕业预警结论</w:t>
      </w:r>
    </w:p>
    <w:p>
      <w:pPr>
        <w:numPr>
          <w:ilvl w:val="0"/>
          <w:numId w:val="1"/>
        </w:numPr>
        <w:ind w:firstLine="210" w:firstLineChars="100"/>
        <w:rPr>
          <w:rFonts w:hint="eastAsia"/>
          <w:lang w:val="en-US" w:eastAsia="zh-CN"/>
        </w:rPr>
      </w:pPr>
      <w:r>
        <w:rPr>
          <w:rFonts w:hint="eastAsia"/>
          <w:lang w:val="en-US" w:eastAsia="zh-CN"/>
        </w:rPr>
        <w:t>登录系统搜索在上方搜索学业预警或在毕业审核中找到学业预警进行点击，选择院系秘书身份进入学业预警结果管理。</w:t>
      </w:r>
    </w:p>
    <w:p>
      <w:pPr>
        <w:numPr>
          <w:ilvl w:val="0"/>
          <w:numId w:val="0"/>
        </w:numPr>
        <w:rPr>
          <w:rFonts w:hint="eastAsia"/>
          <w:lang w:val="en-US" w:eastAsia="zh-CN"/>
        </w:rPr>
      </w:pPr>
      <w:r>
        <w:rPr>
          <w:rFonts w:hint="eastAsia"/>
          <w:lang w:val="en-US" w:eastAsia="zh-CN"/>
        </w:rPr>
        <w:t>1)核实学年学期以及对应的批次，下方展示的数据为本学院学生数据。</w:t>
      </w:r>
    </w:p>
    <w:p>
      <w:r>
        <w:drawing>
          <wp:inline distT="0" distB="0" distL="114300" distR="114300">
            <wp:extent cx="5268595" cy="227965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5268595" cy="2279650"/>
                    </a:xfrm>
                    <a:prstGeom prst="rect">
                      <a:avLst/>
                    </a:prstGeom>
                    <a:noFill/>
                    <a:ln w="9525">
                      <a:noFill/>
                    </a:ln>
                  </pic:spPr>
                </pic:pic>
              </a:graphicData>
            </a:graphic>
          </wp:inline>
        </w:drawing>
      </w:r>
    </w:p>
    <w:p>
      <w:pPr>
        <w:numPr>
          <w:ilvl w:val="0"/>
          <w:numId w:val="0"/>
        </w:numPr>
        <w:rPr>
          <w:rFonts w:hint="eastAsia"/>
          <w:lang w:val="en-US" w:eastAsia="zh-CN"/>
        </w:rPr>
      </w:pPr>
      <w:r>
        <w:rPr>
          <w:rFonts w:hint="eastAsia"/>
          <w:lang w:val="en-US" w:eastAsia="zh-CN"/>
        </w:rPr>
        <w:t>2)查看核实学生预警计算结果以及预警数据的指标详情</w:t>
      </w:r>
    </w:p>
    <w:p>
      <w:r>
        <w:drawing>
          <wp:inline distT="0" distB="0" distL="114300" distR="114300">
            <wp:extent cx="5268595" cy="2287270"/>
            <wp:effectExtent l="0" t="0" r="8255" b="177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5268595" cy="2287270"/>
                    </a:xfrm>
                    <a:prstGeom prst="rect">
                      <a:avLst/>
                    </a:prstGeom>
                    <a:noFill/>
                    <a:ln w="9525">
                      <a:noFill/>
                    </a:ln>
                  </pic:spPr>
                </pic:pic>
              </a:graphicData>
            </a:graphic>
          </wp:inline>
        </w:drawing>
      </w:r>
    </w:p>
    <w:p>
      <w:pPr>
        <w:numPr>
          <w:ilvl w:val="0"/>
          <w:numId w:val="0"/>
        </w:numPr>
        <w:rPr>
          <w:rFonts w:hint="eastAsia"/>
          <w:lang w:val="en-US" w:eastAsia="zh-CN"/>
        </w:rPr>
      </w:pPr>
      <w:r>
        <w:rPr>
          <w:rFonts w:hint="eastAsia"/>
          <w:lang w:val="en-US" w:eastAsia="zh-CN"/>
        </w:rPr>
        <w:t>3)编辑以及批量修改中设置预警开始结束时间以及预警结论说明，如是正常发布则需要维护预警开始结束时间</w:t>
      </w:r>
    </w:p>
    <w:p>
      <w:r>
        <w:drawing>
          <wp:inline distT="0" distB="0" distL="114300" distR="114300">
            <wp:extent cx="5268595" cy="2252345"/>
            <wp:effectExtent l="0" t="0" r="8255"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5268595" cy="2252345"/>
                    </a:xfrm>
                    <a:prstGeom prst="rect">
                      <a:avLst/>
                    </a:prstGeom>
                    <a:noFill/>
                    <a:ln w="9525">
                      <a:noFill/>
                    </a:ln>
                  </pic:spPr>
                </pic:pic>
              </a:graphicData>
            </a:graphic>
          </wp:inline>
        </w:drawing>
      </w:r>
    </w:p>
    <w:p>
      <w:pPr>
        <w:numPr>
          <w:ilvl w:val="0"/>
          <w:numId w:val="2"/>
        </w:numPr>
        <w:rPr>
          <w:rFonts w:hint="eastAsia"/>
          <w:lang w:val="en-US" w:eastAsia="zh-CN"/>
        </w:rPr>
      </w:pPr>
      <w:r>
        <w:rPr>
          <w:rFonts w:hint="eastAsia"/>
          <w:lang w:val="en-US" w:eastAsia="zh-CN"/>
        </w:rPr>
        <w:t>核实无误之后可进行预警发布，如有误还可进行取消发布，发布之后学生才可看到以及预警数据则不可编辑以及批量修改。</w:t>
      </w:r>
    </w:p>
    <w:p>
      <w:pPr>
        <w:numPr>
          <w:ilvl w:val="0"/>
          <w:numId w:val="0"/>
        </w:numPr>
        <w:rPr>
          <w:rFonts w:hint="eastAsia"/>
          <w:lang w:val="en-US" w:eastAsia="zh-CN"/>
        </w:rPr>
      </w:pPr>
      <w:r>
        <w:rPr>
          <w:rFonts w:hint="eastAsia"/>
          <w:lang w:val="en-US" w:eastAsia="zh-CN"/>
        </w:rPr>
        <w:t>注：如按照预警结论发布，则不需要维护预警开始结束时间，学生界面也看不到预警时间范围</w:t>
      </w:r>
    </w:p>
    <w:p>
      <w:pPr>
        <w:numPr>
          <w:ilvl w:val="0"/>
          <w:numId w:val="0"/>
        </w:numPr>
        <w:rPr>
          <w:rFonts w:hint="eastAsia"/>
          <w:lang w:val="en-US" w:eastAsia="zh-CN"/>
        </w:rPr>
      </w:pPr>
      <w:r>
        <w:drawing>
          <wp:inline distT="0" distB="0" distL="114300" distR="114300">
            <wp:extent cx="5268595" cy="2291080"/>
            <wp:effectExtent l="0" t="0" r="8255" b="139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5268595" cy="2291080"/>
                    </a:xfrm>
                    <a:prstGeom prst="rect">
                      <a:avLst/>
                    </a:prstGeom>
                    <a:noFill/>
                    <a:ln w="9525">
                      <a:noFill/>
                    </a:ln>
                  </pic:spPr>
                </pic:pic>
              </a:graphicData>
            </a:graphic>
          </wp:inline>
        </w:drawing>
      </w:r>
    </w:p>
    <w:p>
      <w:pPr>
        <w:numPr>
          <w:ilvl w:val="0"/>
          <w:numId w:val="2"/>
        </w:numPr>
        <w:rPr>
          <w:rFonts w:hint="eastAsia"/>
          <w:lang w:val="en-US" w:eastAsia="zh-CN"/>
        </w:rPr>
      </w:pPr>
      <w:r>
        <w:rPr>
          <w:rFonts w:hint="eastAsia"/>
          <w:lang w:val="en-US" w:eastAsia="zh-CN"/>
        </w:rPr>
        <w:t>对于预警的学生可进行批量下载预警结论材料，一级二级预警结论对应南京晓庄学院学业预警学生谈话记录表</w:t>
      </w:r>
    </w:p>
    <w:p>
      <w:pPr>
        <w:numPr>
          <w:ilvl w:val="0"/>
          <w:numId w:val="0"/>
        </w:numPr>
        <w:rPr>
          <w:rFonts w:hint="eastAsia"/>
          <w:lang w:val="en-US" w:eastAsia="zh-CN"/>
        </w:rPr>
      </w:pPr>
      <w:r>
        <w:rPr>
          <w:rFonts w:hint="eastAsia"/>
          <w:lang w:val="en-US" w:eastAsia="zh-CN"/>
        </w:rPr>
        <w:t>三级预警结论对应南京晓庄学院学业预警学生谈话记录表、南京晓庄学院学业预警通知书（致家长）、南京晓庄学院学业预警家长谈话记录表</w:t>
      </w:r>
    </w:p>
    <w:p>
      <w:pPr>
        <w:numPr>
          <w:ilvl w:val="0"/>
          <w:numId w:val="0"/>
        </w:numPr>
      </w:pPr>
      <w:r>
        <w:drawing>
          <wp:inline distT="0" distB="0" distL="114300" distR="114300">
            <wp:extent cx="5268595" cy="2132965"/>
            <wp:effectExtent l="0" t="0" r="825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5268595" cy="2132965"/>
                    </a:xfrm>
                    <a:prstGeom prst="rect">
                      <a:avLst/>
                    </a:prstGeom>
                    <a:noFill/>
                    <a:ln w="9525">
                      <a:noFill/>
                    </a:ln>
                  </pic:spPr>
                </pic:pic>
              </a:graphicData>
            </a:graphic>
          </wp:inline>
        </w:drawing>
      </w:r>
    </w:p>
    <w:p>
      <w:pPr>
        <w:numPr>
          <w:ilvl w:val="0"/>
          <w:numId w:val="0"/>
        </w:numPr>
      </w:pPr>
    </w:p>
    <w:p>
      <w:pPr>
        <w:numPr>
          <w:ilvl w:val="0"/>
          <w:numId w:val="2"/>
        </w:numPr>
        <w:rPr>
          <w:rFonts w:hint="eastAsia"/>
          <w:lang w:val="en-US" w:eastAsia="zh-CN"/>
        </w:rPr>
      </w:pPr>
      <w:r>
        <w:rPr>
          <w:rFonts w:hint="eastAsia"/>
          <w:lang w:val="en-US" w:eastAsia="zh-CN"/>
        </w:rPr>
        <w:t>对于预警结论材料可进行批量下载图片材料。（上传预警结论材料由帮扶人进行上传）</w:t>
      </w:r>
    </w:p>
    <w:p>
      <w:pPr>
        <w:numPr>
          <w:ilvl w:val="0"/>
          <w:numId w:val="0"/>
        </w:numPr>
      </w:pPr>
      <w:r>
        <w:drawing>
          <wp:inline distT="0" distB="0" distL="114300" distR="114300">
            <wp:extent cx="5264785" cy="2144395"/>
            <wp:effectExtent l="0" t="0" r="1206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5264785" cy="2144395"/>
                    </a:xfrm>
                    <a:prstGeom prst="rect">
                      <a:avLst/>
                    </a:prstGeom>
                    <a:noFill/>
                    <a:ln w="9525">
                      <a:noFill/>
                    </a:ln>
                  </pic:spPr>
                </pic:pic>
              </a:graphicData>
            </a:graphic>
          </wp:inline>
        </w:drawing>
      </w:r>
    </w:p>
    <w:p>
      <w:pPr>
        <w:numPr>
          <w:ilvl w:val="0"/>
          <w:numId w:val="2"/>
        </w:numPr>
        <w:rPr>
          <w:rFonts w:hint="eastAsia"/>
          <w:lang w:val="en-US" w:eastAsia="zh-CN"/>
        </w:rPr>
      </w:pPr>
      <w:r>
        <w:rPr>
          <w:rFonts w:hint="eastAsia"/>
          <w:lang w:val="en-US" w:eastAsia="zh-CN"/>
        </w:rPr>
        <w:t>可点击导出详情进行查看学生不及格课程明细（导出EXCEL）</w:t>
      </w:r>
    </w:p>
    <w:p>
      <w:pPr>
        <w:numPr>
          <w:ilvl w:val="0"/>
          <w:numId w:val="0"/>
        </w:numPr>
      </w:pPr>
      <w:r>
        <w:drawing>
          <wp:inline distT="0" distB="0" distL="114300" distR="114300">
            <wp:extent cx="5268595" cy="2294890"/>
            <wp:effectExtent l="0" t="0" r="8255" b="1016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10"/>
                    <a:stretch>
                      <a:fillRect/>
                    </a:stretch>
                  </pic:blipFill>
                  <pic:spPr>
                    <a:xfrm>
                      <a:off x="0" y="0"/>
                      <a:ext cx="5268595" cy="2294890"/>
                    </a:xfrm>
                    <a:prstGeom prst="rect">
                      <a:avLst/>
                    </a:prstGeom>
                    <a:noFill/>
                    <a:ln w="9525">
                      <a:noFill/>
                    </a:ln>
                  </pic:spPr>
                </pic:pic>
              </a:graphicData>
            </a:graphic>
          </wp:inline>
        </w:drawing>
      </w:r>
    </w:p>
    <w:p>
      <w:pPr>
        <w:numPr>
          <w:ilvl w:val="0"/>
          <w:numId w:val="0"/>
        </w:numPr>
      </w:pPr>
    </w:p>
    <w:p>
      <w:pPr>
        <w:ind w:firstLine="602" w:firstLineChars="200"/>
        <w:rPr>
          <w:rFonts w:hint="eastAsia"/>
          <w:b/>
          <w:bCs/>
          <w:sz w:val="30"/>
          <w:szCs w:val="30"/>
          <w:lang w:eastAsia="zh-CN"/>
        </w:rPr>
      </w:pPr>
      <w:r>
        <w:rPr>
          <w:rFonts w:hint="eastAsia"/>
          <w:b/>
          <w:bCs/>
          <w:sz w:val="30"/>
          <w:szCs w:val="30"/>
          <w:lang w:val="en-US" w:eastAsia="zh-CN"/>
        </w:rPr>
        <w:t>2.</w:t>
      </w:r>
      <w:r>
        <w:rPr>
          <w:rFonts w:hint="eastAsia"/>
          <w:b/>
          <w:bCs/>
          <w:sz w:val="30"/>
          <w:szCs w:val="30"/>
          <w:lang w:eastAsia="zh-CN"/>
        </w:rPr>
        <w:t>辅导员：</w:t>
      </w:r>
    </w:p>
    <w:p>
      <w:pPr>
        <w:ind w:firstLine="420" w:firstLineChars="200"/>
        <w:rPr>
          <w:rFonts w:hint="eastAsia"/>
          <w:b w:val="0"/>
          <w:bCs w:val="0"/>
          <w:lang w:eastAsia="zh-CN"/>
        </w:rPr>
      </w:pPr>
      <w:r>
        <w:rPr>
          <w:rFonts w:hint="eastAsia"/>
          <w:b w:val="0"/>
          <w:bCs w:val="0"/>
          <w:lang w:eastAsia="zh-CN"/>
        </w:rPr>
        <w:t>主要指定帮扶人信息</w:t>
      </w:r>
    </w:p>
    <w:p>
      <w:pPr>
        <w:numPr>
          <w:ilvl w:val="0"/>
          <w:numId w:val="0"/>
        </w:numPr>
        <w:ind w:firstLine="210" w:firstLineChars="100"/>
      </w:pPr>
      <w:r>
        <w:rPr>
          <w:rFonts w:hint="eastAsia"/>
          <w:lang w:val="en-US" w:eastAsia="zh-CN"/>
        </w:rPr>
        <w:t>1.登录系统搜索在上方搜索学业预警或在毕业审核中找到学业预警进行点击，选择辅导员（教务）进入学业预警结果管理。</w:t>
      </w:r>
    </w:p>
    <w:p>
      <w:pPr>
        <w:numPr>
          <w:ilvl w:val="0"/>
          <w:numId w:val="0"/>
        </w:numPr>
        <w:rPr>
          <w:rFonts w:hint="eastAsia"/>
          <w:lang w:val="en-US" w:eastAsia="zh-CN"/>
        </w:rPr>
      </w:pPr>
      <w:r>
        <w:rPr>
          <w:rFonts w:hint="eastAsia"/>
          <w:lang w:val="en-US" w:eastAsia="zh-CN"/>
        </w:rPr>
        <w:t>1)在未发布的预警结论中点击编辑或批量修改设置帮扶人信息，设置完帮扶人信息后帮扶人才可看到自己帮扶的学生预警数据。</w:t>
      </w:r>
    </w:p>
    <w:p>
      <w:pPr>
        <w:rPr>
          <w:rFonts w:hint="eastAsia"/>
          <w:lang w:val="en-US" w:eastAsia="zh-CN"/>
        </w:rPr>
      </w:pPr>
      <w:r>
        <w:drawing>
          <wp:inline distT="0" distB="0" distL="114300" distR="114300">
            <wp:extent cx="5268595" cy="2272030"/>
            <wp:effectExtent l="0" t="0" r="8255" b="1397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pic:cNvPicPr>
                      <a:picLocks noChangeAspect="1"/>
                    </pic:cNvPicPr>
                  </pic:nvPicPr>
                  <pic:blipFill>
                    <a:blip r:embed="rId11"/>
                    <a:stretch>
                      <a:fillRect/>
                    </a:stretch>
                  </pic:blipFill>
                  <pic:spPr>
                    <a:xfrm>
                      <a:off x="0" y="0"/>
                      <a:ext cx="5268595" cy="2272030"/>
                    </a:xfrm>
                    <a:prstGeom prst="rect">
                      <a:avLst/>
                    </a:prstGeom>
                    <a:noFill/>
                    <a:ln w="9525">
                      <a:noFill/>
                    </a:ln>
                  </pic:spPr>
                </pic:pic>
              </a:graphicData>
            </a:graphic>
          </wp:inline>
        </w:drawing>
      </w:r>
    </w:p>
    <w:p>
      <w:pPr>
        <w:numPr>
          <w:ilvl w:val="0"/>
          <w:numId w:val="0"/>
        </w:numPr>
        <w:rPr>
          <w:rFonts w:hint="eastAsia"/>
          <w:lang w:val="en-US" w:eastAsia="zh-CN"/>
        </w:rPr>
      </w:pPr>
      <w:r>
        <w:rPr>
          <w:rFonts w:hint="eastAsia"/>
          <w:lang w:val="en-US" w:eastAsia="zh-CN"/>
        </w:rPr>
        <w:t>2)对于预警的学生可进行批量下载预警结论材料，一级二级预警结论对应南京晓庄学院学业预警学生谈话记录表</w:t>
      </w:r>
    </w:p>
    <w:p>
      <w:pPr>
        <w:numPr>
          <w:ilvl w:val="0"/>
          <w:numId w:val="0"/>
        </w:numPr>
        <w:rPr>
          <w:rFonts w:hint="eastAsia"/>
          <w:lang w:val="en-US" w:eastAsia="zh-CN"/>
        </w:rPr>
      </w:pPr>
      <w:r>
        <w:rPr>
          <w:rFonts w:hint="eastAsia"/>
          <w:lang w:val="en-US" w:eastAsia="zh-CN"/>
        </w:rPr>
        <w:t>三级预警结论对应南京晓庄学院学业预警学生谈话记录表、南京晓庄学院学业预警通知书（致家长）、南京晓庄学院学业预警家长谈话记录表</w:t>
      </w:r>
    </w:p>
    <w:p>
      <w:pPr>
        <w:numPr>
          <w:ilvl w:val="0"/>
          <w:numId w:val="0"/>
        </w:numPr>
      </w:pPr>
      <w:r>
        <w:drawing>
          <wp:inline distT="0" distB="0" distL="114300" distR="114300">
            <wp:extent cx="5268595" cy="2132965"/>
            <wp:effectExtent l="0" t="0" r="8255"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stretch>
                      <a:fillRect/>
                    </a:stretch>
                  </pic:blipFill>
                  <pic:spPr>
                    <a:xfrm>
                      <a:off x="0" y="0"/>
                      <a:ext cx="5268595" cy="2132965"/>
                    </a:xfrm>
                    <a:prstGeom prst="rect">
                      <a:avLst/>
                    </a:prstGeom>
                    <a:noFill/>
                    <a:ln w="9525">
                      <a:noFill/>
                    </a:ln>
                  </pic:spPr>
                </pic:pic>
              </a:graphicData>
            </a:graphic>
          </wp:inline>
        </w:drawing>
      </w:r>
    </w:p>
    <w:p>
      <w:pPr>
        <w:numPr>
          <w:ilvl w:val="0"/>
          <w:numId w:val="0"/>
        </w:numPr>
      </w:pPr>
    </w:p>
    <w:p>
      <w:pPr>
        <w:numPr>
          <w:ilvl w:val="0"/>
          <w:numId w:val="0"/>
        </w:numPr>
        <w:rPr>
          <w:rFonts w:hint="eastAsia"/>
          <w:lang w:val="en-US" w:eastAsia="zh-CN"/>
        </w:rPr>
      </w:pPr>
      <w:r>
        <w:rPr>
          <w:rFonts w:hint="eastAsia"/>
          <w:lang w:val="en-US" w:eastAsia="zh-CN"/>
        </w:rPr>
        <w:t>3)对于预警结论材料可进行批量下载图片材料。（上传预警结论材料由帮扶人进行上传）</w:t>
      </w:r>
    </w:p>
    <w:p>
      <w:pPr>
        <w:numPr>
          <w:ilvl w:val="0"/>
          <w:numId w:val="0"/>
        </w:numPr>
      </w:pPr>
      <w:r>
        <w:drawing>
          <wp:inline distT="0" distB="0" distL="114300" distR="114300">
            <wp:extent cx="5264785" cy="2144395"/>
            <wp:effectExtent l="0" t="0" r="1206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9"/>
                    <a:stretch>
                      <a:fillRect/>
                    </a:stretch>
                  </pic:blipFill>
                  <pic:spPr>
                    <a:xfrm>
                      <a:off x="0" y="0"/>
                      <a:ext cx="5264785" cy="2144395"/>
                    </a:xfrm>
                    <a:prstGeom prst="rect">
                      <a:avLst/>
                    </a:prstGeom>
                    <a:noFill/>
                    <a:ln w="9525">
                      <a:noFill/>
                    </a:ln>
                  </pic:spPr>
                </pic:pic>
              </a:graphicData>
            </a:graphic>
          </wp:inline>
        </w:drawing>
      </w:r>
    </w:p>
    <w:p>
      <w:pPr>
        <w:numPr>
          <w:ilvl w:val="0"/>
          <w:numId w:val="0"/>
        </w:numPr>
      </w:pPr>
    </w:p>
    <w:p>
      <w:pPr>
        <w:numPr>
          <w:ilvl w:val="0"/>
          <w:numId w:val="0"/>
        </w:numPr>
      </w:pPr>
    </w:p>
    <w:p>
      <w:pPr>
        <w:numPr>
          <w:ilvl w:val="0"/>
          <w:numId w:val="0"/>
        </w:numPr>
      </w:pPr>
    </w:p>
    <w:p>
      <w:pPr>
        <w:numPr>
          <w:ilvl w:val="0"/>
          <w:numId w:val="0"/>
        </w:numPr>
      </w:pPr>
    </w:p>
    <w:p>
      <w:pPr>
        <w:ind w:firstLine="602" w:firstLineChars="200"/>
        <w:rPr>
          <w:rFonts w:hint="eastAsia"/>
          <w:b/>
          <w:bCs/>
          <w:sz w:val="30"/>
          <w:szCs w:val="30"/>
          <w:lang w:eastAsia="zh-CN"/>
        </w:rPr>
      </w:pPr>
      <w:r>
        <w:rPr>
          <w:rFonts w:hint="eastAsia"/>
          <w:b/>
          <w:bCs/>
          <w:sz w:val="30"/>
          <w:szCs w:val="30"/>
          <w:lang w:val="en-US" w:eastAsia="zh-CN"/>
        </w:rPr>
        <w:t>3.帮扶人</w:t>
      </w:r>
      <w:r>
        <w:rPr>
          <w:rFonts w:hint="eastAsia"/>
          <w:b/>
          <w:bCs/>
          <w:sz w:val="30"/>
          <w:szCs w:val="30"/>
          <w:lang w:eastAsia="zh-CN"/>
        </w:rPr>
        <w:t>：</w:t>
      </w:r>
    </w:p>
    <w:p>
      <w:pPr>
        <w:ind w:firstLine="420" w:firstLineChars="200"/>
        <w:rPr>
          <w:rFonts w:hint="eastAsia"/>
          <w:b w:val="0"/>
          <w:bCs w:val="0"/>
          <w:lang w:eastAsia="zh-CN"/>
        </w:rPr>
      </w:pPr>
      <w:r>
        <w:rPr>
          <w:rFonts w:hint="eastAsia"/>
          <w:b w:val="0"/>
          <w:bCs w:val="0"/>
          <w:lang w:eastAsia="zh-CN"/>
        </w:rPr>
        <w:t>主要对于帮扶材料的上传</w:t>
      </w:r>
    </w:p>
    <w:p>
      <w:pPr>
        <w:numPr>
          <w:ilvl w:val="0"/>
          <w:numId w:val="0"/>
        </w:numPr>
        <w:ind w:firstLine="210" w:firstLineChars="100"/>
      </w:pPr>
      <w:r>
        <w:rPr>
          <w:rFonts w:hint="eastAsia"/>
          <w:lang w:val="en-US" w:eastAsia="zh-CN"/>
        </w:rPr>
        <w:t>1.登录系统搜索在上方搜索学业预警或在毕业审核中找到学业预警进行点击，选择教师组（教务）进入学业预警结果管理。</w:t>
      </w:r>
    </w:p>
    <w:p>
      <w:pPr>
        <w:numPr>
          <w:ilvl w:val="0"/>
          <w:numId w:val="0"/>
        </w:numPr>
        <w:rPr>
          <w:rFonts w:hint="eastAsia"/>
          <w:lang w:val="en-US" w:eastAsia="zh-CN"/>
        </w:rPr>
      </w:pPr>
      <w:r>
        <w:rPr>
          <w:rFonts w:hint="eastAsia"/>
          <w:lang w:val="en-US" w:eastAsia="zh-CN"/>
        </w:rPr>
        <w:t>1)对于辅导员设置学生对应的帮扶人，那帮扶人可查看到自己帮扶的学生数据。</w:t>
      </w:r>
    </w:p>
    <w:p>
      <w:pPr>
        <w:numPr>
          <w:ilvl w:val="0"/>
          <w:numId w:val="0"/>
        </w:numPr>
      </w:pPr>
      <w:r>
        <w:drawing>
          <wp:inline distT="0" distB="0" distL="114300" distR="114300">
            <wp:extent cx="5274310" cy="2246630"/>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274310" cy="2246630"/>
                    </a:xfrm>
                    <a:prstGeom prst="rect">
                      <a:avLst/>
                    </a:prstGeom>
                    <a:noFill/>
                    <a:ln w="9525">
                      <a:noFill/>
                    </a:ln>
                  </pic:spPr>
                </pic:pic>
              </a:graphicData>
            </a:graphic>
          </wp:inline>
        </w:drawing>
      </w:r>
    </w:p>
    <w:p>
      <w:pPr>
        <w:numPr>
          <w:ilvl w:val="0"/>
          <w:numId w:val="3"/>
        </w:numPr>
        <w:rPr>
          <w:rFonts w:hint="eastAsia"/>
          <w:lang w:val="en-US" w:eastAsia="zh-CN"/>
        </w:rPr>
      </w:pPr>
      <w:r>
        <w:rPr>
          <w:rFonts w:hint="eastAsia"/>
          <w:lang w:val="en-US" w:eastAsia="zh-CN"/>
        </w:rPr>
        <w:t>对于帮扶的学生进行帮扶材料的上传以及在线查看帮扶材料的图片。</w:t>
      </w:r>
    </w:p>
    <w:p>
      <w:pPr>
        <w:numPr>
          <w:numId w:val="0"/>
        </w:numPr>
        <w:rPr>
          <w:rFonts w:hint="eastAsia"/>
          <w:lang w:val="en-US" w:eastAsia="zh-CN"/>
        </w:rPr>
      </w:pPr>
      <w:r>
        <w:rPr>
          <w:rFonts w:hint="eastAsia"/>
          <w:lang w:val="en-US" w:eastAsia="zh-CN"/>
        </w:rPr>
        <w:t xml:space="preserve">  注：帮扶材料图片的上传可删除，如材料图片需要全部删除则只需点击上传按钮保存即可</w:t>
      </w:r>
    </w:p>
    <w:p>
      <w:pPr>
        <w:numPr>
          <w:ilvl w:val="0"/>
          <w:numId w:val="0"/>
        </w:numPr>
        <w:rPr>
          <w:rFonts w:hint="eastAsia"/>
          <w:lang w:val="en-US" w:eastAsia="zh-CN"/>
        </w:rPr>
      </w:pPr>
      <w:r>
        <w:drawing>
          <wp:inline distT="0" distB="0" distL="114300" distR="114300">
            <wp:extent cx="5264785" cy="2260600"/>
            <wp:effectExtent l="0" t="0" r="1206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5264785" cy="2260600"/>
                    </a:xfrm>
                    <a:prstGeom prst="rect">
                      <a:avLst/>
                    </a:prstGeom>
                    <a:noFill/>
                    <a:ln w="9525">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7B32BC"/>
    <w:multiLevelType w:val="singleLevel"/>
    <w:tmpl w:val="877B32BC"/>
    <w:lvl w:ilvl="0" w:tentative="0">
      <w:start w:val="2"/>
      <w:numFmt w:val="decimal"/>
      <w:lvlText w:val="%1)"/>
      <w:lvlJc w:val="left"/>
      <w:pPr>
        <w:tabs>
          <w:tab w:val="left" w:pos="312"/>
        </w:tabs>
      </w:pPr>
    </w:lvl>
  </w:abstractNum>
  <w:abstractNum w:abstractNumId="1">
    <w:nsid w:val="D2DC1469"/>
    <w:multiLevelType w:val="singleLevel"/>
    <w:tmpl w:val="D2DC1469"/>
    <w:lvl w:ilvl="0" w:tentative="0">
      <w:start w:val="1"/>
      <w:numFmt w:val="decimal"/>
      <w:lvlText w:val="%1."/>
      <w:lvlJc w:val="left"/>
      <w:pPr>
        <w:tabs>
          <w:tab w:val="left" w:pos="312"/>
        </w:tabs>
      </w:pPr>
    </w:lvl>
  </w:abstractNum>
  <w:abstractNum w:abstractNumId="2">
    <w:nsid w:val="5F1093C4"/>
    <w:multiLevelType w:val="singleLevel"/>
    <w:tmpl w:val="5F1093C4"/>
    <w:lvl w:ilvl="0" w:tentative="0">
      <w:start w:val="4"/>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FC7126"/>
    <w:rsid w:val="76942C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yuan</dc:creator>
  <cp:lastModifiedBy>媴釒衿</cp:lastModifiedBy>
  <dcterms:modified xsi:type="dcterms:W3CDTF">2021-11-16T02:25:06Z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